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689468" cy="12390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468" cy="123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245"/>
      </w:pPr>
      <w:r>
        <w:rPr>
          <w:w w:val="80"/>
        </w:rPr>
        <w:t>6.5.-</w:t>
      </w:r>
      <w:r>
        <w:rPr>
          <w:spacing w:val="18"/>
        </w:rPr>
        <w:t> </w:t>
      </w:r>
      <w:r>
        <w:rPr>
          <w:w w:val="80"/>
        </w:rPr>
        <w:t>RELACIÓN</w:t>
      </w:r>
      <w:r>
        <w:rPr>
          <w:spacing w:val="14"/>
        </w:rPr>
        <w:t> </w:t>
      </w:r>
      <w:r>
        <w:rPr>
          <w:w w:val="80"/>
        </w:rPr>
        <w:t>DE</w:t>
      </w:r>
      <w:r>
        <w:rPr>
          <w:spacing w:val="16"/>
        </w:rPr>
        <w:t> </w:t>
      </w:r>
      <w:r>
        <w:rPr>
          <w:w w:val="80"/>
        </w:rPr>
        <w:t>ESQUEMAS</w:t>
      </w:r>
      <w:r>
        <w:rPr>
          <w:spacing w:val="16"/>
        </w:rPr>
        <w:t> </w:t>
      </w:r>
      <w:r>
        <w:rPr>
          <w:w w:val="80"/>
        </w:rPr>
        <w:t>BURSÁTILES</w:t>
      </w:r>
      <w:r>
        <w:rPr>
          <w:spacing w:val="18"/>
        </w:rPr>
        <w:t> </w:t>
      </w:r>
      <w:r>
        <w:rPr>
          <w:w w:val="80"/>
        </w:rPr>
        <w:t>Y</w:t>
      </w:r>
      <w:r>
        <w:rPr>
          <w:spacing w:val="19"/>
        </w:rPr>
        <w:t> </w:t>
      </w:r>
      <w:r>
        <w:rPr>
          <w:w w:val="80"/>
        </w:rPr>
        <w:t>DE</w:t>
      </w:r>
      <w:r>
        <w:rPr>
          <w:spacing w:val="19"/>
        </w:rPr>
        <w:t> </w:t>
      </w:r>
      <w:r>
        <w:rPr>
          <w:w w:val="80"/>
        </w:rPr>
        <w:t>COBERTURAS</w:t>
      </w:r>
      <w:r>
        <w:rPr>
          <w:spacing w:val="18"/>
        </w:rPr>
        <w:t> </w:t>
      </w:r>
      <w:r>
        <w:rPr>
          <w:spacing w:val="-2"/>
          <w:w w:val="80"/>
        </w:rPr>
        <w:t>FINANCIERAS</w:t>
      </w:r>
    </w:p>
    <w:p>
      <w:pPr>
        <w:pStyle w:val="BodyText"/>
        <w:spacing w:before="127"/>
        <w:rPr>
          <w:sz w:val="28"/>
        </w:rPr>
      </w:pPr>
    </w:p>
    <w:p>
      <w:pPr>
        <w:pStyle w:val="BodyText"/>
        <w:spacing w:line="364" w:lineRule="auto"/>
        <w:ind w:left="907" w:right="173" w:firstLine="708"/>
        <w:jc w:val="both"/>
      </w:pP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anexo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formula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cumplimiento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lo</w:t>
      </w:r>
      <w:r>
        <w:rPr>
          <w:spacing w:val="-6"/>
          <w:w w:val="90"/>
        </w:rPr>
        <w:t> </w:t>
      </w:r>
      <w:r>
        <w:rPr>
          <w:w w:val="90"/>
        </w:rPr>
        <w:t>dispuesto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artículo</w:t>
      </w:r>
      <w:r>
        <w:rPr>
          <w:spacing w:val="-6"/>
          <w:w w:val="90"/>
        </w:rPr>
        <w:t> </w:t>
      </w:r>
      <w:r>
        <w:rPr>
          <w:w w:val="90"/>
        </w:rPr>
        <w:t>46,</w:t>
      </w:r>
      <w:r>
        <w:rPr>
          <w:spacing w:val="-6"/>
          <w:w w:val="90"/>
        </w:rPr>
        <w:t> </w:t>
      </w:r>
      <w:r>
        <w:rPr>
          <w:w w:val="90"/>
        </w:rPr>
        <w:t>último</w:t>
      </w:r>
      <w:r>
        <w:rPr>
          <w:spacing w:val="-7"/>
          <w:w w:val="90"/>
        </w:rPr>
        <w:t> </w:t>
      </w:r>
      <w:r>
        <w:rPr>
          <w:w w:val="90"/>
        </w:rPr>
        <w:t>párrafo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 </w:t>
      </w:r>
      <w:r>
        <w:rPr>
          <w:w w:val="85"/>
        </w:rPr>
        <w:t>General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Contabilidad</w:t>
      </w:r>
      <w:r>
        <w:rPr>
          <w:spacing w:val="-5"/>
          <w:w w:val="85"/>
        </w:rPr>
        <w:t> </w:t>
      </w:r>
      <w:r>
        <w:rPr>
          <w:w w:val="85"/>
        </w:rPr>
        <w:t>Gubernamental,</w:t>
      </w:r>
      <w:r>
        <w:rPr>
          <w:spacing w:val="-6"/>
          <w:w w:val="85"/>
        </w:rPr>
        <w:t> </w:t>
      </w:r>
      <w:r>
        <w:rPr>
          <w:w w:val="85"/>
        </w:rPr>
        <w:t>comunicando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Poder</w:t>
      </w:r>
      <w:r>
        <w:rPr>
          <w:spacing w:val="-6"/>
          <w:w w:val="85"/>
        </w:rPr>
        <w:t> </w:t>
      </w:r>
      <w:r>
        <w:rPr>
          <w:w w:val="85"/>
        </w:rPr>
        <w:t>Ejecutivo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Nayarit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31</w:t>
      </w:r>
      <w:r>
        <w:rPr>
          <w:spacing w:val="-5"/>
          <w:w w:val="85"/>
        </w:rPr>
        <w:t> </w:t>
      </w:r>
      <w:r>
        <w:rPr>
          <w:w w:val="85"/>
        </w:rPr>
        <w:t>de Diciembre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2024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reporta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existencia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esquemas</w:t>
      </w:r>
      <w:r>
        <w:rPr>
          <w:spacing w:val="-5"/>
          <w:w w:val="85"/>
        </w:rPr>
        <w:t> </w:t>
      </w:r>
      <w:r>
        <w:rPr>
          <w:w w:val="85"/>
        </w:rPr>
        <w:t>bursátiles.</w:t>
      </w:r>
    </w:p>
    <w:p>
      <w:pPr>
        <w:pStyle w:val="BodyText"/>
        <w:spacing w:before="130"/>
      </w:pPr>
    </w:p>
    <w:p>
      <w:pPr>
        <w:pStyle w:val="BodyText"/>
        <w:spacing w:line="364" w:lineRule="auto"/>
        <w:ind w:left="907" w:right="173" w:firstLine="708"/>
        <w:jc w:val="both"/>
      </w:pP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caso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Coberturas</w:t>
      </w:r>
      <w:r>
        <w:rPr>
          <w:spacing w:val="-6"/>
          <w:w w:val="85"/>
        </w:rPr>
        <w:t> </w:t>
      </w:r>
      <w:r>
        <w:rPr>
          <w:w w:val="85"/>
        </w:rPr>
        <w:t>Financieras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informa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como</w:t>
      </w:r>
      <w:r>
        <w:rPr>
          <w:spacing w:val="-6"/>
          <w:w w:val="85"/>
        </w:rPr>
        <w:t> </w:t>
      </w:r>
      <w:r>
        <w:rPr>
          <w:w w:val="85"/>
        </w:rPr>
        <w:t>parte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proceso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reestructuración</w:t>
      </w:r>
      <w:r>
        <w:rPr>
          <w:spacing w:val="-6"/>
          <w:w w:val="85"/>
        </w:rPr>
        <w:t> </w:t>
      </w:r>
      <w:r>
        <w:rPr>
          <w:w w:val="85"/>
        </w:rPr>
        <w:t>y/o </w:t>
      </w:r>
      <w:r>
        <w:rPr>
          <w:w w:val="80"/>
        </w:rPr>
        <w:t>refinanciamiento de la</w:t>
      </w:r>
      <w:r>
        <w:rPr/>
        <w:t> </w:t>
      </w:r>
      <w:r>
        <w:rPr>
          <w:w w:val="80"/>
        </w:rPr>
        <w:t>Deuda Pública autorizado</w:t>
      </w:r>
      <w:r>
        <w:rPr/>
        <w:t> </w:t>
      </w:r>
      <w:r>
        <w:rPr>
          <w:w w:val="80"/>
        </w:rPr>
        <w:t>por el</w:t>
      </w:r>
      <w:r>
        <w:rPr/>
        <w:t> </w:t>
      </w:r>
      <w:r>
        <w:rPr>
          <w:w w:val="80"/>
        </w:rPr>
        <w:t>H.</w:t>
      </w:r>
      <w:r>
        <w:rPr/>
        <w:t> </w:t>
      </w:r>
      <w:r>
        <w:rPr>
          <w:w w:val="80"/>
        </w:rPr>
        <w:t>Congreso del Estado en el</w:t>
      </w:r>
      <w:r>
        <w:rPr/>
        <w:t> </w:t>
      </w:r>
      <w:r>
        <w:rPr>
          <w:w w:val="80"/>
        </w:rPr>
        <w:t>año 2018,</w:t>
      </w:r>
      <w:r>
        <w:rPr/>
        <w:t> </w:t>
      </w:r>
      <w:r>
        <w:rPr>
          <w:w w:val="80"/>
        </w:rPr>
        <w:t>las</w:t>
      </w:r>
      <w:r>
        <w:rPr/>
        <w:t> </w:t>
      </w:r>
      <w:r>
        <w:rPr>
          <w:w w:val="80"/>
        </w:rPr>
        <w:t>reservas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los nuevos financiamientos se encuentran constituidas en los Fideicomisos que para efecto de administración y </w:t>
      </w:r>
      <w:r>
        <w:rPr>
          <w:w w:val="85"/>
        </w:rPr>
        <w:t>fuente de pago se crearon en CI BANCO, S.A.</w:t>
      </w:r>
    </w:p>
    <w:p>
      <w:pPr>
        <w:pStyle w:val="BodyText"/>
        <w:spacing w:before="154"/>
      </w:pPr>
    </w:p>
    <w:p>
      <w:pPr>
        <w:pStyle w:val="Heading1"/>
      </w:pPr>
      <w:r>
        <w:rPr>
          <w:w w:val="80"/>
        </w:rPr>
        <w:t>6.6.-</w:t>
      </w:r>
      <w:r>
        <w:rPr>
          <w:spacing w:val="19"/>
        </w:rPr>
        <w:t> </w:t>
      </w:r>
      <w:r>
        <w:rPr>
          <w:w w:val="80"/>
        </w:rPr>
        <w:t>CIRCULARIZACIÓN</w:t>
      </w:r>
      <w:r>
        <w:rPr>
          <w:spacing w:val="20"/>
        </w:rPr>
        <w:t> </w:t>
      </w:r>
      <w:r>
        <w:rPr>
          <w:w w:val="80"/>
        </w:rPr>
        <w:t>DE</w:t>
      </w:r>
      <w:r>
        <w:rPr>
          <w:spacing w:val="16"/>
        </w:rPr>
        <w:t> </w:t>
      </w:r>
      <w:r>
        <w:rPr>
          <w:w w:val="80"/>
        </w:rPr>
        <w:t>SALDOS</w:t>
      </w:r>
      <w:r>
        <w:rPr>
          <w:spacing w:val="20"/>
        </w:rPr>
        <w:t> </w:t>
      </w:r>
      <w:r>
        <w:rPr>
          <w:w w:val="80"/>
        </w:rPr>
        <w:t>DE</w:t>
      </w:r>
      <w:r>
        <w:rPr>
          <w:spacing w:val="16"/>
        </w:rPr>
        <w:t> </w:t>
      </w:r>
      <w:r>
        <w:rPr>
          <w:w w:val="80"/>
        </w:rPr>
        <w:t>CUENTAS</w:t>
      </w:r>
      <w:r>
        <w:rPr>
          <w:spacing w:val="20"/>
        </w:rPr>
        <w:t> </w:t>
      </w:r>
      <w:r>
        <w:rPr>
          <w:spacing w:val="-2"/>
          <w:w w:val="80"/>
        </w:rPr>
        <w:t>DEUDORAS</w:t>
      </w:r>
    </w:p>
    <w:p>
      <w:pPr>
        <w:pStyle w:val="BodyText"/>
        <w:spacing w:before="127"/>
        <w:rPr>
          <w:sz w:val="28"/>
        </w:rPr>
      </w:pPr>
    </w:p>
    <w:p>
      <w:pPr>
        <w:pStyle w:val="BodyText"/>
        <w:spacing w:line="364" w:lineRule="auto"/>
        <w:ind w:left="907" w:right="173" w:firstLine="708"/>
        <w:jc w:val="both"/>
      </w:pPr>
      <w:r>
        <w:rPr>
          <w:w w:val="90"/>
        </w:rPr>
        <w:t>Este</w:t>
      </w:r>
      <w:r>
        <w:rPr>
          <w:w w:val="90"/>
        </w:rPr>
        <w:t> anexo</w:t>
      </w:r>
      <w:r>
        <w:rPr>
          <w:w w:val="90"/>
        </w:rPr>
        <w:t> se</w:t>
      </w:r>
      <w:r>
        <w:rPr>
          <w:w w:val="90"/>
        </w:rPr>
        <w:t> presenta</w:t>
      </w:r>
      <w:r>
        <w:rPr>
          <w:w w:val="90"/>
        </w:rPr>
        <w:t> en</w:t>
      </w:r>
      <w:r>
        <w:rPr>
          <w:w w:val="90"/>
        </w:rPr>
        <w:t> archivos</w:t>
      </w:r>
      <w:r>
        <w:rPr>
          <w:w w:val="90"/>
        </w:rPr>
        <w:t> adjuntos</w:t>
      </w:r>
      <w:r>
        <w:rPr>
          <w:w w:val="90"/>
        </w:rPr>
        <w:t> (CD)</w:t>
      </w:r>
      <w:r>
        <w:rPr>
          <w:w w:val="90"/>
        </w:rPr>
        <w:t> y</w:t>
      </w:r>
      <w:r>
        <w:rPr>
          <w:w w:val="90"/>
        </w:rPr>
        <w:t> está</w:t>
      </w:r>
      <w:r>
        <w:rPr>
          <w:w w:val="90"/>
        </w:rPr>
        <w:t> conformado</w:t>
      </w:r>
      <w:r>
        <w:rPr>
          <w:w w:val="90"/>
        </w:rPr>
        <w:t> por</w:t>
      </w:r>
      <w:r>
        <w:rPr>
          <w:w w:val="90"/>
        </w:rPr>
        <w:t> la</w:t>
      </w:r>
      <w:r>
        <w:rPr>
          <w:w w:val="90"/>
        </w:rPr>
        <w:t> documentación relacionada</w:t>
      </w:r>
      <w:r>
        <w:rPr>
          <w:spacing w:val="-1"/>
          <w:w w:val="90"/>
        </w:rPr>
        <w:t> </w:t>
      </w:r>
      <w:r>
        <w:rPr>
          <w:w w:val="90"/>
        </w:rPr>
        <w:t>con</w:t>
      </w:r>
      <w:r>
        <w:rPr>
          <w:w w:val="90"/>
        </w:rPr>
        <w:t> las</w:t>
      </w:r>
      <w:r>
        <w:rPr>
          <w:w w:val="90"/>
        </w:rPr>
        <w:t> acciones</w:t>
      </w:r>
      <w:r>
        <w:rPr>
          <w:w w:val="90"/>
        </w:rPr>
        <w:t> ejecutadas</w:t>
      </w:r>
      <w:r>
        <w:rPr>
          <w:w w:val="90"/>
        </w:rPr>
        <w:t> por</w:t>
      </w:r>
      <w:r>
        <w:rPr>
          <w:w w:val="90"/>
        </w:rPr>
        <w:t> la</w:t>
      </w:r>
      <w:r>
        <w:rPr>
          <w:w w:val="90"/>
        </w:rPr>
        <w:t> Secretaría</w:t>
      </w:r>
      <w:r>
        <w:rPr>
          <w:w w:val="90"/>
        </w:rPr>
        <w:t> de</w:t>
      </w:r>
      <w:r>
        <w:rPr>
          <w:w w:val="90"/>
        </w:rPr>
        <w:t> Administración</w:t>
      </w:r>
      <w:r>
        <w:rPr>
          <w:spacing w:val="-1"/>
          <w:w w:val="90"/>
        </w:rPr>
        <w:t> </w:t>
      </w:r>
      <w:r>
        <w:rPr>
          <w:w w:val="90"/>
        </w:rPr>
        <w:t>y</w:t>
      </w:r>
      <w:r>
        <w:rPr>
          <w:w w:val="90"/>
        </w:rPr>
        <w:t> Finanzas</w:t>
      </w:r>
      <w:r>
        <w:rPr>
          <w:w w:val="90"/>
        </w:rPr>
        <w:t> en</w:t>
      </w:r>
      <w:r>
        <w:rPr>
          <w:w w:val="90"/>
        </w:rPr>
        <w:t> materia</w:t>
      </w:r>
      <w:r>
        <w:rPr>
          <w:w w:val="90"/>
        </w:rPr>
        <w:t> de </w:t>
      </w:r>
      <w:r>
        <w:rPr>
          <w:w w:val="85"/>
        </w:rPr>
        <w:t>circularización de saldos de cuentas deudoras.</w:t>
      </w:r>
    </w:p>
    <w:sectPr>
      <w:footerReference w:type="default" r:id="rId5"/>
      <w:type w:val="continuous"/>
      <w:pgSz w:w="12240" w:h="15840"/>
      <w:pgMar w:header="0" w:footer="794" w:top="1020" w:bottom="980" w:left="10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6336">
              <wp:simplePos x="0" y="0"/>
              <wp:positionH relativeFrom="page">
                <wp:posOffset>4009132</wp:posOffset>
              </wp:positionH>
              <wp:positionV relativeFrom="page">
                <wp:posOffset>9414764</wp:posOffset>
              </wp:positionV>
              <wp:extent cx="2165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32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5.679749pt;margin-top:741.320007pt;width:17.05pt;height:12pt;mso-position-horizontal-relative:page;mso-position-vertical-relative:page;z-index:-15750144" type="#_x0000_t202" id="docshape1" filled="false" stroked="false">
              <v:textbox inset="0,0,0,0">
                <w:txbxContent>
                  <w:p>
                    <w:pPr>
                      <w:spacing w:line="207" w:lineRule="exact" w:before="32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153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07"/>
      <w:outlineLvl w:val="1"/>
    </w:pPr>
    <w:rPr>
      <w:rFonts w:ascii="Microsoft Sans Serif" w:hAnsi="Microsoft Sans Serif" w:eastAsia="Microsoft Sans Serif" w:cs="Microsoft Sans Serif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2025-05-20T21:40:04Z</dcterms:created>
  <dcterms:modified xsi:type="dcterms:W3CDTF">2025-05-20T21:40:04Z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2025-05-20T00:00:00Z</vt:filetime>
  </property>
</Properties>
</file>